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79" w:rsidRDefault="00E25CD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419670" cy="1152144"/>
            <wp:effectExtent l="0" t="0" r="0" b="0"/>
            <wp:docPr id="1" name="image1.jpeg" descr="concord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7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079" w:rsidRDefault="00DE1079">
      <w:pPr>
        <w:pStyle w:val="BodyText"/>
        <w:rPr>
          <w:rFonts w:ascii="Times New Roman"/>
          <w:sz w:val="20"/>
        </w:rPr>
      </w:pPr>
    </w:p>
    <w:p w:rsidR="00DE1079" w:rsidRDefault="00DE1079">
      <w:pPr>
        <w:pStyle w:val="BodyText"/>
        <w:rPr>
          <w:sz w:val="24"/>
        </w:rPr>
      </w:pPr>
    </w:p>
    <w:p w:rsidR="00DE1079" w:rsidRDefault="00E25CD0">
      <w:pPr>
        <w:spacing w:before="214"/>
        <w:ind w:left="100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What research requires ethics review?</w:t>
      </w:r>
    </w:p>
    <w:p w:rsidR="00DE1079" w:rsidRDefault="00E25CD0">
      <w:pPr>
        <w:pStyle w:val="Heading1"/>
        <w:spacing w:before="234"/>
      </w:pPr>
      <w:r>
        <w:t>Basic principle</w:t>
      </w:r>
    </w:p>
    <w:p w:rsidR="007C0873" w:rsidRDefault="007C0873">
      <w:pPr>
        <w:spacing w:before="30"/>
        <w:ind w:left="100"/>
        <w:rPr>
          <w:b/>
        </w:rPr>
      </w:pPr>
    </w:p>
    <w:p w:rsidR="00DE1079" w:rsidRDefault="00E25CD0">
      <w:pPr>
        <w:spacing w:before="30"/>
        <w:ind w:left="100"/>
      </w:pPr>
      <w:r>
        <w:rPr>
          <w:b/>
        </w:rPr>
        <w:t xml:space="preserve">All research involving human participants </w:t>
      </w:r>
      <w:r>
        <w:t>requires ethics review, including (TCPS</w:t>
      </w:r>
      <w:r>
        <w:rPr>
          <w:vertAlign w:val="superscript"/>
        </w:rPr>
        <w:t>1</w:t>
      </w:r>
      <w:r>
        <w:t xml:space="preserve"> Art. 2.1):</w:t>
      </w:r>
    </w:p>
    <w:p w:rsidR="00DE1079" w:rsidRDefault="00E25CD0">
      <w:pPr>
        <w:pStyle w:val="ListParagraph"/>
        <w:numPr>
          <w:ilvl w:val="0"/>
          <w:numId w:val="1"/>
        </w:numPr>
        <w:tabs>
          <w:tab w:val="left" w:pos="821"/>
        </w:tabs>
        <w:spacing w:before="226"/>
        <w:ind w:hanging="361"/>
        <w:rPr>
          <w:b/>
        </w:rPr>
      </w:pPr>
      <w:r>
        <w:rPr>
          <w:b/>
        </w:rPr>
        <w:t>Living human</w:t>
      </w:r>
      <w:r>
        <w:rPr>
          <w:b/>
          <w:spacing w:val="-3"/>
        </w:rPr>
        <w:t xml:space="preserve"> </w:t>
      </w:r>
      <w:r>
        <w:rPr>
          <w:b/>
        </w:rPr>
        <w:t>participants</w:t>
      </w:r>
    </w:p>
    <w:p w:rsidR="00DE1079" w:rsidRDefault="00E25CD0">
      <w:pPr>
        <w:pStyle w:val="ListParagraph"/>
        <w:numPr>
          <w:ilvl w:val="0"/>
          <w:numId w:val="1"/>
        </w:numPr>
        <w:tabs>
          <w:tab w:val="left" w:pos="821"/>
        </w:tabs>
        <w:spacing w:before="27"/>
        <w:ind w:hanging="361"/>
      </w:pPr>
      <w:r>
        <w:rPr>
          <w:b/>
        </w:rPr>
        <w:t>Human biological materials</w:t>
      </w:r>
      <w:r>
        <w:t>, including living and deceased</w:t>
      </w:r>
      <w:r>
        <w:rPr>
          <w:spacing w:val="-10"/>
        </w:rPr>
        <w:t xml:space="preserve"> </w:t>
      </w:r>
      <w:r>
        <w:t>individuals</w:t>
      </w:r>
    </w:p>
    <w:p w:rsidR="00DE1079" w:rsidRDefault="00DE1079">
      <w:pPr>
        <w:pStyle w:val="BodyText"/>
        <w:spacing w:before="8"/>
        <w:rPr>
          <w:sz w:val="18"/>
        </w:rPr>
      </w:pPr>
    </w:p>
    <w:p w:rsidR="00DE1079" w:rsidRDefault="00E25CD0">
      <w:pPr>
        <w:pStyle w:val="BodyText"/>
        <w:spacing w:line="264" w:lineRule="auto"/>
        <w:ind w:left="100" w:right="273"/>
      </w:pPr>
      <w:r>
        <w:rPr>
          <w:i/>
        </w:rPr>
        <w:t>Human participant</w:t>
      </w:r>
      <w:r>
        <w:t>: those individuals whose data or responses to interventions, stimuli or questions by the researcher, or biological materials are relevan</w:t>
      </w:r>
      <w:r>
        <w:t>t to answering the research question</w:t>
      </w:r>
    </w:p>
    <w:p w:rsidR="00DE1079" w:rsidRDefault="00DE1079">
      <w:pPr>
        <w:pStyle w:val="BodyText"/>
        <w:spacing w:before="6"/>
        <w:rPr>
          <w:sz w:val="16"/>
        </w:rPr>
      </w:pPr>
    </w:p>
    <w:p w:rsidR="007C0873" w:rsidRDefault="00E25CD0" w:rsidP="007C0873">
      <w:pPr>
        <w:pStyle w:val="BodyText"/>
        <w:spacing w:line="264" w:lineRule="auto"/>
        <w:ind w:left="100" w:right="155"/>
      </w:pPr>
      <w:r>
        <w:rPr>
          <w:i/>
        </w:rPr>
        <w:t xml:space="preserve">Biological materials: </w:t>
      </w:r>
      <w:r>
        <w:t>includes tissues, organs, blood, plasma, serum, DNA, RNA, proteins, cells, skin, hair, nail clippings, urine, saliva, and other bodily fluids. Also includes: materials related to human reproduction, including embryos, fetuses, fetal tissues, and human repr</w:t>
      </w:r>
      <w:r>
        <w:t>oductive materials, as well as stem cells</w:t>
      </w:r>
    </w:p>
    <w:p w:rsidR="007C0873" w:rsidRDefault="007C0873" w:rsidP="007C0873">
      <w:pPr>
        <w:pStyle w:val="BodyText"/>
        <w:spacing w:line="264" w:lineRule="auto"/>
        <w:ind w:left="100" w:right="155"/>
      </w:pPr>
    </w:p>
    <w:p w:rsidR="00DE1079" w:rsidRDefault="00E25CD0" w:rsidP="002401B6">
      <w:pPr>
        <w:pStyle w:val="Heading1"/>
        <w:spacing w:before="197"/>
        <w:ind w:left="0"/>
      </w:pPr>
      <w:r>
        <w:t>S</w:t>
      </w:r>
      <w:r>
        <w:t>pecific Inclusions</w:t>
      </w:r>
    </w:p>
    <w:p w:rsidR="00DE1079" w:rsidRDefault="00E25CD0">
      <w:pPr>
        <w:pStyle w:val="BodyText"/>
        <w:spacing w:before="33"/>
        <w:ind w:left="100"/>
      </w:pPr>
      <w:r>
        <w:t>The following require ethics review:</w:t>
      </w:r>
    </w:p>
    <w:p w:rsidR="00DE1079" w:rsidRDefault="00DE1079">
      <w:pPr>
        <w:pStyle w:val="BodyText"/>
        <w:spacing w:before="8"/>
        <w:rPr>
          <w:sz w:val="18"/>
        </w:rPr>
      </w:pPr>
    </w:p>
    <w:p w:rsidR="007C0873" w:rsidRPr="002401B6" w:rsidRDefault="002401B6" w:rsidP="007C0873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98"/>
      </w:pPr>
      <w:r>
        <w:rPr>
          <w:b/>
        </w:rPr>
        <w:t xml:space="preserve">Secondary use </w:t>
      </w:r>
      <w:r>
        <w:t xml:space="preserve">of </w:t>
      </w:r>
      <w:r w:rsidRPr="002401B6">
        <w:rPr>
          <w:b/>
        </w:rPr>
        <w:t>identifiable</w:t>
      </w:r>
      <w:r>
        <w:t xml:space="preserve"> and </w:t>
      </w:r>
      <w:r w:rsidRPr="002401B6">
        <w:rPr>
          <w:b/>
        </w:rPr>
        <w:t>anonymized</w:t>
      </w:r>
      <w:r>
        <w:t xml:space="preserve"> data and human biological material.</w:t>
      </w:r>
    </w:p>
    <w:p w:rsidR="002401B6" w:rsidRDefault="00E25CD0" w:rsidP="007C0873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162"/>
      </w:pPr>
      <w:r>
        <w:rPr>
          <w:b/>
        </w:rPr>
        <w:t>D</w:t>
      </w:r>
      <w:r>
        <w:rPr>
          <w:b/>
        </w:rPr>
        <w:t xml:space="preserve">ata linkage </w:t>
      </w:r>
      <w:r>
        <w:t>(TCPS Art. 2.4, 5.7): The merging or analysis of two or more separate data sets</w:t>
      </w:r>
      <w:r>
        <w:rPr>
          <w:spacing w:val="-35"/>
        </w:rPr>
        <w:t xml:space="preserve"> </w:t>
      </w:r>
      <w:r>
        <w:t xml:space="preserve">(e.g. health information and education information about the same individuals) for research purposes </w:t>
      </w:r>
    </w:p>
    <w:p w:rsidR="002401B6" w:rsidRDefault="00E25CD0" w:rsidP="002401B6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948"/>
      </w:pPr>
      <w:r>
        <w:rPr>
          <w:b/>
        </w:rPr>
        <w:t>D</w:t>
      </w:r>
      <w:r>
        <w:rPr>
          <w:b/>
        </w:rPr>
        <w:t>at</w:t>
      </w:r>
      <w:r>
        <w:rPr>
          <w:b/>
        </w:rPr>
        <w:t xml:space="preserve">a linkage </w:t>
      </w:r>
      <w:r>
        <w:t>where there is a reasonable prospect that this could ge</w:t>
      </w:r>
      <w:r w:rsidR="002401B6">
        <w:t>nerate identifiable information.</w:t>
      </w:r>
    </w:p>
    <w:p w:rsidR="00DE1079" w:rsidRDefault="00E25CD0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exact"/>
        <w:ind w:hanging="361"/>
      </w:pPr>
      <w:r>
        <w:rPr>
          <w:b/>
        </w:rPr>
        <w:t>Q</w:t>
      </w:r>
      <w:r>
        <w:rPr>
          <w:b/>
        </w:rPr>
        <w:t xml:space="preserve">ualitative research </w:t>
      </w:r>
      <w:r>
        <w:t>(TCPS Art.</w:t>
      </w:r>
      <w:r>
        <w:rPr>
          <w:spacing w:val="-6"/>
        </w:rPr>
        <w:t xml:space="preserve"> </w:t>
      </w:r>
      <w:r>
        <w:t>10.1)</w:t>
      </w:r>
    </w:p>
    <w:p w:rsidR="002401B6" w:rsidRDefault="002401B6" w:rsidP="002401B6">
      <w:pPr>
        <w:pStyle w:val="BodyText"/>
        <w:spacing w:before="2"/>
      </w:pPr>
    </w:p>
    <w:p w:rsidR="007C0873" w:rsidRDefault="007C0873" w:rsidP="007C0873">
      <w:pPr>
        <w:tabs>
          <w:tab w:val="left" w:pos="821"/>
        </w:tabs>
        <w:spacing w:line="264" w:lineRule="auto"/>
        <w:ind w:right="198"/>
      </w:pPr>
      <w:r>
        <w:rPr>
          <w:i/>
        </w:rPr>
        <w:t xml:space="preserve">Secondary use: </w:t>
      </w:r>
      <w:r>
        <w:t>use for a purpose other than the current research purpose</w:t>
      </w:r>
    </w:p>
    <w:p w:rsidR="007C0873" w:rsidRDefault="007C0873" w:rsidP="007C0873">
      <w:pPr>
        <w:tabs>
          <w:tab w:val="left" w:pos="821"/>
        </w:tabs>
        <w:spacing w:line="264" w:lineRule="auto"/>
        <w:ind w:right="198"/>
        <w:rPr>
          <w:rStyle w:val="Strong"/>
          <w:rFonts w:ascii="Helvetica" w:hAnsi="Helvetica"/>
          <w:b w:val="0"/>
          <w:i/>
          <w:color w:val="333333"/>
          <w:shd w:val="clear" w:color="auto" w:fill="FFFFFF"/>
        </w:rPr>
      </w:pPr>
      <w:r>
        <w:rPr>
          <w:rStyle w:val="Strong"/>
          <w:rFonts w:ascii="Helvetica" w:hAnsi="Helvetica"/>
          <w:b w:val="0"/>
          <w:i/>
          <w:color w:val="333333"/>
          <w:shd w:val="clear" w:color="auto" w:fill="FFFFFF"/>
        </w:rPr>
        <w:tab/>
      </w:r>
    </w:p>
    <w:p w:rsidR="007C0873" w:rsidRDefault="007C0873" w:rsidP="007C0873">
      <w:pPr>
        <w:tabs>
          <w:tab w:val="left" w:pos="821"/>
        </w:tabs>
        <w:spacing w:line="264" w:lineRule="auto"/>
        <w:ind w:right="198"/>
      </w:pPr>
      <w:r w:rsidRPr="007C0873">
        <w:rPr>
          <w:rStyle w:val="Strong"/>
          <w:rFonts w:asciiTheme="minorHAnsi" w:hAnsiTheme="minorHAnsi" w:cstheme="minorHAnsi"/>
          <w:b w:val="0"/>
          <w:i/>
          <w:color w:val="333333"/>
          <w:shd w:val="clear" w:color="auto" w:fill="FFFFFF"/>
        </w:rPr>
        <w:t>Anonymized</w:t>
      </w:r>
      <w:r w:rsidRPr="007C0873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: </w:t>
      </w:r>
      <w:r w:rsidRPr="007C0873">
        <w:rPr>
          <w:rFonts w:asciiTheme="minorHAnsi" w:hAnsiTheme="minorHAnsi" w:cstheme="minorHAnsi"/>
          <w:color w:val="333333"/>
          <w:shd w:val="clear" w:color="auto" w:fill="FFFFFF"/>
        </w:rPr>
        <w:t>data was initially collected with identifiers and has since been irrevocably stripped of said direct identifiers.</w:t>
      </w:r>
    </w:p>
    <w:p w:rsidR="007C0873" w:rsidRDefault="007C0873" w:rsidP="002401B6">
      <w:pPr>
        <w:pStyle w:val="BodyText"/>
        <w:spacing w:before="2"/>
      </w:pPr>
    </w:p>
    <w:p w:rsidR="007C0873" w:rsidRPr="007C0873" w:rsidRDefault="007C0873" w:rsidP="002401B6">
      <w:pPr>
        <w:pStyle w:val="BodyText"/>
        <w:spacing w:before="2"/>
        <w:rPr>
          <w:rFonts w:asciiTheme="majorHAnsi" w:hAnsiTheme="majorHAnsi"/>
          <w:b/>
          <w:sz w:val="26"/>
          <w:szCs w:val="26"/>
        </w:rPr>
      </w:pPr>
      <w:r w:rsidRPr="007C0873">
        <w:rPr>
          <w:rFonts w:asciiTheme="majorHAnsi" w:hAnsiTheme="majorHAnsi"/>
          <w:b/>
          <w:sz w:val="26"/>
          <w:szCs w:val="26"/>
        </w:rPr>
        <w:t>General Rule</w:t>
      </w:r>
    </w:p>
    <w:p w:rsidR="007C0873" w:rsidRDefault="007C0873" w:rsidP="002401B6">
      <w:pPr>
        <w:pStyle w:val="BodyText"/>
        <w:spacing w:before="2"/>
        <w:rPr>
          <w:b/>
        </w:rPr>
      </w:pPr>
    </w:p>
    <w:p w:rsidR="002401B6" w:rsidRPr="007C0873" w:rsidRDefault="002401B6" w:rsidP="002401B6">
      <w:pPr>
        <w:pStyle w:val="BodyText"/>
        <w:spacing w:before="2"/>
        <w:rPr>
          <w:b/>
        </w:rPr>
      </w:pPr>
      <w:r w:rsidRPr="007C0873">
        <w:rPr>
          <w:b/>
        </w:rPr>
        <w:t xml:space="preserve">When in doubt, please always </w:t>
      </w:r>
      <w:r w:rsidR="007C0873">
        <w:rPr>
          <w:b/>
        </w:rPr>
        <w:t>flag</w:t>
      </w:r>
      <w:bookmarkStart w:id="0" w:name="_GoBack"/>
      <w:bookmarkEnd w:id="0"/>
      <w:r w:rsidRPr="007C0873">
        <w:rPr>
          <w:b/>
        </w:rPr>
        <w:t xml:space="preserve"> ethics as a requirement and we’ll clarify with the researcher.</w:t>
      </w:r>
    </w:p>
    <w:p w:rsidR="007C0873" w:rsidRDefault="007C0873" w:rsidP="002401B6">
      <w:pPr>
        <w:pStyle w:val="Heading1"/>
        <w:spacing w:before="77"/>
        <w:ind w:left="0"/>
      </w:pPr>
    </w:p>
    <w:p w:rsidR="00DE1079" w:rsidRDefault="00E25CD0" w:rsidP="002401B6">
      <w:pPr>
        <w:pStyle w:val="Heading1"/>
        <w:spacing w:before="77"/>
        <w:ind w:left="0"/>
      </w:pPr>
      <w:r>
        <w:lastRenderedPageBreak/>
        <w:t>E</w:t>
      </w:r>
      <w:r>
        <w:t>xceptions and Exemptions</w:t>
      </w:r>
    </w:p>
    <w:p w:rsidR="002401B6" w:rsidRDefault="002401B6">
      <w:pPr>
        <w:pStyle w:val="BodyText"/>
        <w:spacing w:before="34" w:line="264" w:lineRule="auto"/>
        <w:ind w:left="100" w:right="357"/>
      </w:pPr>
    </w:p>
    <w:p w:rsidR="00DE1079" w:rsidRDefault="00E25CD0">
      <w:pPr>
        <w:pStyle w:val="BodyText"/>
        <w:spacing w:before="34" w:line="264" w:lineRule="auto"/>
        <w:ind w:left="100" w:right="357"/>
      </w:pPr>
      <w:r>
        <w:t xml:space="preserve">Individuals who are </w:t>
      </w:r>
      <w:r>
        <w:rPr>
          <w:b/>
        </w:rPr>
        <w:t xml:space="preserve">authorized to release information </w:t>
      </w:r>
      <w:r>
        <w:t>or data in the ordinary course of their employment about organizations, policies, procedures, professional practices or statistical reports are not considered to be participants (TCPS Art. 2.1).</w:t>
      </w:r>
    </w:p>
    <w:p w:rsidR="00DE1079" w:rsidRDefault="00DE1079">
      <w:pPr>
        <w:pStyle w:val="BodyText"/>
        <w:spacing w:before="3"/>
        <w:rPr>
          <w:sz w:val="16"/>
        </w:rPr>
      </w:pPr>
    </w:p>
    <w:p w:rsidR="00DE1079" w:rsidRDefault="00E25CD0">
      <w:pPr>
        <w:spacing w:line="264" w:lineRule="auto"/>
        <w:ind w:left="100" w:right="757"/>
      </w:pPr>
      <w:r>
        <w:t xml:space="preserve">Research based on exclusively on </w:t>
      </w:r>
      <w:r>
        <w:rPr>
          <w:b/>
        </w:rPr>
        <w:t xml:space="preserve">publicly available material </w:t>
      </w:r>
      <w:r>
        <w:t>does not require ethics review if the information is (TCPS Art.2.2):</w:t>
      </w:r>
    </w:p>
    <w:p w:rsidR="00DE1079" w:rsidRDefault="00DE1079">
      <w:pPr>
        <w:pStyle w:val="BodyText"/>
        <w:spacing w:before="6"/>
        <w:rPr>
          <w:sz w:val="16"/>
        </w:rPr>
      </w:pPr>
    </w:p>
    <w:p w:rsidR="00DE1079" w:rsidRDefault="00E25CD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Legally accessible to the public and appropriately protected by law;</w:t>
      </w:r>
      <w:r>
        <w:rPr>
          <w:spacing w:val="-8"/>
        </w:rPr>
        <w:t xml:space="preserve"> </w:t>
      </w:r>
      <w:r>
        <w:t>or</w:t>
      </w:r>
    </w:p>
    <w:p w:rsidR="00DE1079" w:rsidRDefault="00E25CD0">
      <w:pPr>
        <w:pStyle w:val="ListParagraph"/>
        <w:numPr>
          <w:ilvl w:val="0"/>
          <w:numId w:val="1"/>
        </w:numPr>
        <w:tabs>
          <w:tab w:val="left" w:pos="821"/>
        </w:tabs>
        <w:spacing w:before="26"/>
        <w:ind w:hanging="361"/>
      </w:pPr>
      <w:r>
        <w:t>Publicly accessible and there is no reasonable expect</w:t>
      </w:r>
      <w:r>
        <w:t>ation of</w:t>
      </w:r>
      <w:r>
        <w:rPr>
          <w:spacing w:val="-7"/>
        </w:rPr>
        <w:t xml:space="preserve"> </w:t>
      </w:r>
      <w:r>
        <w:t>privacy</w:t>
      </w:r>
    </w:p>
    <w:p w:rsidR="00DE1079" w:rsidRDefault="00DE1079">
      <w:pPr>
        <w:pStyle w:val="BodyText"/>
        <w:spacing w:before="6"/>
        <w:rPr>
          <w:sz w:val="18"/>
        </w:rPr>
      </w:pPr>
    </w:p>
    <w:p w:rsidR="00DE1079" w:rsidRDefault="00E25CD0">
      <w:pPr>
        <w:spacing w:before="1" w:line="264" w:lineRule="auto"/>
        <w:ind w:left="100" w:right="578"/>
      </w:pPr>
      <w:r>
        <w:t xml:space="preserve">Research involving </w:t>
      </w:r>
      <w:r>
        <w:rPr>
          <w:b/>
        </w:rPr>
        <w:t>observation of people in public places</w:t>
      </w:r>
      <w:r>
        <w:t>, does not require ethics review if there is (TCPS Art. 2.3):</w:t>
      </w:r>
    </w:p>
    <w:p w:rsidR="00DE1079" w:rsidRDefault="00DE1079">
      <w:pPr>
        <w:pStyle w:val="BodyText"/>
        <w:spacing w:before="6"/>
        <w:rPr>
          <w:sz w:val="16"/>
        </w:rPr>
      </w:pPr>
    </w:p>
    <w:p w:rsidR="00DE1079" w:rsidRDefault="00E25CD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No intervention staged by the researcher or direct</w:t>
      </w:r>
      <w:r>
        <w:rPr>
          <w:spacing w:val="-4"/>
        </w:rPr>
        <w:t xml:space="preserve"> </w:t>
      </w:r>
      <w:r>
        <w:t>interaction</w:t>
      </w:r>
    </w:p>
    <w:p w:rsidR="00DE1079" w:rsidRDefault="00E25CD0">
      <w:pPr>
        <w:pStyle w:val="ListParagraph"/>
        <w:numPr>
          <w:ilvl w:val="0"/>
          <w:numId w:val="1"/>
        </w:numPr>
        <w:tabs>
          <w:tab w:val="left" w:pos="821"/>
        </w:tabs>
        <w:spacing w:before="27"/>
        <w:ind w:hanging="361"/>
      </w:pPr>
      <w:r>
        <w:t>No reasonable expectation of privacy,</w:t>
      </w:r>
      <w:r>
        <w:rPr>
          <w:spacing w:val="-8"/>
        </w:rPr>
        <w:t xml:space="preserve"> </w:t>
      </w:r>
      <w:r>
        <w:t>and</w:t>
      </w:r>
    </w:p>
    <w:p w:rsidR="00DE1079" w:rsidRDefault="00E25CD0">
      <w:pPr>
        <w:pStyle w:val="ListParagraph"/>
        <w:numPr>
          <w:ilvl w:val="0"/>
          <w:numId w:val="1"/>
        </w:numPr>
        <w:tabs>
          <w:tab w:val="left" w:pos="821"/>
        </w:tabs>
        <w:spacing w:before="26"/>
        <w:ind w:hanging="361"/>
      </w:pPr>
      <w:r>
        <w:t>No potential for identification of specific individuals when the research results are</w:t>
      </w:r>
      <w:r>
        <w:rPr>
          <w:spacing w:val="-20"/>
        </w:rPr>
        <w:t xml:space="preserve"> </w:t>
      </w:r>
      <w:r>
        <w:t>disseminated</w:t>
      </w:r>
    </w:p>
    <w:p w:rsidR="00DE1079" w:rsidRDefault="00DE1079">
      <w:pPr>
        <w:pStyle w:val="BodyText"/>
        <w:spacing w:before="6"/>
        <w:rPr>
          <w:sz w:val="18"/>
        </w:rPr>
      </w:pPr>
    </w:p>
    <w:p w:rsidR="00DE1079" w:rsidRDefault="00E25CD0" w:rsidP="002401B6">
      <w:pPr>
        <w:pStyle w:val="BodyText"/>
        <w:spacing w:line="266" w:lineRule="auto"/>
        <w:ind w:left="100" w:right="100"/>
      </w:pPr>
      <w:r>
        <w:t xml:space="preserve">Research that relies on secondary use of </w:t>
      </w:r>
      <w:r>
        <w:rPr>
          <w:b/>
        </w:rPr>
        <w:t xml:space="preserve">anonymous information </w:t>
      </w:r>
      <w:r>
        <w:t>does not require ethics review if (TCPS Art. 2.4)</w:t>
      </w:r>
    </w:p>
    <w:p w:rsidR="00DE1079" w:rsidRDefault="00DE1079">
      <w:pPr>
        <w:pStyle w:val="BodyText"/>
        <w:spacing w:before="6"/>
        <w:rPr>
          <w:sz w:val="18"/>
        </w:rPr>
      </w:pPr>
    </w:p>
    <w:p w:rsidR="00DE1079" w:rsidRDefault="00E25CD0">
      <w:pPr>
        <w:pStyle w:val="BodyText"/>
        <w:spacing w:line="264" w:lineRule="auto"/>
        <w:ind w:left="100" w:right="610"/>
      </w:pPr>
      <w:r>
        <w:rPr>
          <w:i/>
        </w:rPr>
        <w:t>Anonymous information</w:t>
      </w:r>
      <w:r>
        <w:t>: information that never had identifiers associated with it (e.g., anonymous surveys) and risk of identification of individuals is low or very low</w:t>
      </w:r>
    </w:p>
    <w:p w:rsidR="00DE1079" w:rsidRDefault="00DE1079">
      <w:pPr>
        <w:pStyle w:val="BodyText"/>
        <w:spacing w:before="6"/>
        <w:rPr>
          <w:sz w:val="16"/>
        </w:rPr>
      </w:pPr>
    </w:p>
    <w:p w:rsidR="00DE1079" w:rsidRDefault="00E25CD0">
      <w:pPr>
        <w:pStyle w:val="BodyText"/>
        <w:spacing w:line="264" w:lineRule="auto"/>
        <w:ind w:left="100" w:right="529"/>
      </w:pPr>
      <w:r>
        <w:rPr>
          <w:b/>
        </w:rPr>
        <w:t xml:space="preserve">Quality assurance </w:t>
      </w:r>
      <w:r>
        <w:t>and quality improvement studies, progr</w:t>
      </w:r>
      <w:r>
        <w:t>am evaluation activities and performance reviews, or testing within normal educational requirements when used exclusively for assessment, management, or improvement purposes do not require ethics review.</w:t>
      </w:r>
    </w:p>
    <w:p w:rsidR="00DE1079" w:rsidRDefault="00DE1079">
      <w:pPr>
        <w:pStyle w:val="BodyText"/>
        <w:spacing w:before="4"/>
        <w:rPr>
          <w:sz w:val="16"/>
        </w:rPr>
      </w:pPr>
    </w:p>
    <w:p w:rsidR="00DE1079" w:rsidRDefault="00E25CD0">
      <w:pPr>
        <w:ind w:left="100"/>
      </w:pPr>
      <w:r>
        <w:rPr>
          <w:b/>
        </w:rPr>
        <w:t xml:space="preserve">Creative practices activities </w:t>
      </w:r>
      <w:r>
        <w:t>do not require ethics</w:t>
      </w:r>
      <w:r>
        <w:t xml:space="preserve"> review. However,</w:t>
      </w:r>
    </w:p>
    <w:p w:rsidR="00DE1079" w:rsidRDefault="00DE1079">
      <w:pPr>
        <w:pStyle w:val="BodyText"/>
        <w:spacing w:before="8"/>
        <w:rPr>
          <w:sz w:val="18"/>
        </w:rPr>
      </w:pPr>
    </w:p>
    <w:p w:rsidR="00DE1079" w:rsidRDefault="00E25CD0">
      <w:pPr>
        <w:pStyle w:val="ListParagraph"/>
        <w:numPr>
          <w:ilvl w:val="0"/>
          <w:numId w:val="1"/>
        </w:numPr>
        <w:tabs>
          <w:tab w:val="left" w:pos="821"/>
        </w:tabs>
        <w:spacing w:line="264" w:lineRule="auto"/>
        <w:ind w:right="212"/>
      </w:pPr>
      <w:r>
        <w:t>Research that uses creative practice to elicit responses from participants and answer a research question does require ethics</w:t>
      </w:r>
      <w:r>
        <w:rPr>
          <w:spacing w:val="-6"/>
        </w:rPr>
        <w:t xml:space="preserve"> </w:t>
      </w:r>
      <w:r>
        <w:t>review.</w:t>
      </w:r>
    </w:p>
    <w:p w:rsidR="00DE1079" w:rsidRDefault="00DE1079">
      <w:pPr>
        <w:pStyle w:val="BodyText"/>
        <w:spacing w:before="4"/>
        <w:rPr>
          <w:sz w:val="16"/>
        </w:rPr>
      </w:pPr>
    </w:p>
    <w:p w:rsidR="00DE1079" w:rsidRDefault="00E25CD0">
      <w:pPr>
        <w:ind w:left="100"/>
        <w:rPr>
          <w:i/>
        </w:rPr>
      </w:pPr>
      <w:r>
        <w:rPr>
          <w:i/>
        </w:rPr>
        <w:t xml:space="preserve">Creative practice: </w:t>
      </w:r>
      <w:r>
        <w:t>a process through which an artist makes or interprets a work or works of art</w:t>
      </w:r>
      <w:r>
        <w:rPr>
          <w:i/>
        </w:rPr>
        <w:t>.</w:t>
      </w:r>
    </w:p>
    <w:p w:rsidR="00DE1079" w:rsidRDefault="00DE1079">
      <w:pPr>
        <w:pStyle w:val="BodyText"/>
        <w:spacing w:before="8"/>
        <w:rPr>
          <w:i/>
          <w:sz w:val="18"/>
        </w:rPr>
      </w:pPr>
    </w:p>
    <w:p w:rsidR="00DE1079" w:rsidRDefault="00E25CD0">
      <w:pPr>
        <w:pStyle w:val="BodyText"/>
        <w:spacing w:line="264" w:lineRule="auto"/>
        <w:ind w:left="100" w:right="251"/>
      </w:pPr>
      <w:r>
        <w:rPr>
          <w:b/>
        </w:rPr>
        <w:t xml:space="preserve">The initial exploratory phase of qualitative research </w:t>
      </w:r>
      <w:r>
        <w:t>(often involving contact with individuals or communities) intended to discuss the feasibility of the research, establish research partnerships, or the design of a research proposal does not require ethi</w:t>
      </w:r>
      <w:r>
        <w:t>cs review (TCPS Art. 10.1).</w:t>
      </w:r>
    </w:p>
    <w:p w:rsidR="00DE1079" w:rsidRDefault="00DE1079">
      <w:pPr>
        <w:pStyle w:val="BodyText"/>
        <w:spacing w:before="2"/>
        <w:rPr>
          <w:sz w:val="16"/>
        </w:rPr>
      </w:pPr>
    </w:p>
    <w:p w:rsidR="00405865" w:rsidRDefault="00405865">
      <w:pPr>
        <w:pStyle w:val="Heading1"/>
      </w:pPr>
    </w:p>
    <w:p w:rsidR="00DE1079" w:rsidRDefault="00E25CD0">
      <w:pPr>
        <w:pStyle w:val="Heading1"/>
      </w:pPr>
      <w:r>
        <w:t>Additional Notes</w:t>
      </w:r>
    </w:p>
    <w:p w:rsidR="00DE1079" w:rsidRDefault="00E25CD0" w:rsidP="00405865">
      <w:pPr>
        <w:pStyle w:val="ListParagraph"/>
        <w:numPr>
          <w:ilvl w:val="0"/>
          <w:numId w:val="1"/>
        </w:numPr>
        <w:tabs>
          <w:tab w:val="left" w:pos="821"/>
        </w:tabs>
        <w:spacing w:before="32" w:line="264" w:lineRule="auto"/>
        <w:ind w:right="345"/>
      </w:pPr>
      <w:r>
        <w:t>The requirement to obtain ethics approval should not be confounded with the requirement to seek informed</w:t>
      </w:r>
      <w:r>
        <w:rPr>
          <w:spacing w:val="-5"/>
        </w:rPr>
        <w:t xml:space="preserve"> </w:t>
      </w:r>
      <w:r>
        <w:t>consent.</w:t>
      </w:r>
    </w:p>
    <w:sectPr w:rsidR="00DE1079">
      <w:footerReference w:type="default" r:id="rId8"/>
      <w:pgSz w:w="12240" w:h="15840"/>
      <w:pgMar w:top="1360" w:right="1320" w:bottom="920" w:left="13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D0" w:rsidRDefault="00E25CD0">
      <w:r>
        <w:separator/>
      </w:r>
    </w:p>
  </w:endnote>
  <w:endnote w:type="continuationSeparator" w:id="0">
    <w:p w:rsidR="00E25CD0" w:rsidRDefault="00E2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79" w:rsidRDefault="00E25CD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4.3pt;width:159.05pt;height:17.75pt;z-index:-251768832;mso-position-horizontal-relative:page;mso-position-vertical-relative:page" filled="f" stroked="f">
          <v:textbox inset="0,0,0,0">
            <w:txbxContent>
              <w:p w:rsidR="00DE1079" w:rsidRDefault="00E25CD0" w:rsidP="00405865">
                <w:pPr>
                  <w:pStyle w:val="BodyText"/>
                  <w:spacing w:line="245" w:lineRule="exact"/>
                  <w:ind w:left="20"/>
                </w:pPr>
                <w:r>
                  <w:t xml:space="preserve">Last updated </w:t>
                </w:r>
                <w:r w:rsidR="002401B6">
                  <w:t>November 1</w:t>
                </w:r>
                <w:r w:rsidR="00405865">
                  <w:t>, 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9.8pt;margin-top:744.3pt;width:51.4pt;height:13.05pt;z-index:-251767808;mso-position-horizontal-relative:page;mso-position-vertical-relative:page" filled="f" stroked="f">
          <v:textbox inset="0,0,0,0">
            <w:txbxContent>
              <w:p w:rsidR="00DE1079" w:rsidRDefault="00E25CD0">
                <w:pPr>
                  <w:pStyle w:val="BodyText"/>
                  <w:spacing w:line="24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556A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D0" w:rsidRDefault="00E25CD0">
      <w:r>
        <w:separator/>
      </w:r>
    </w:p>
  </w:footnote>
  <w:footnote w:type="continuationSeparator" w:id="0">
    <w:p w:rsidR="00E25CD0" w:rsidRDefault="00E2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51B35"/>
    <w:multiLevelType w:val="hybridMultilevel"/>
    <w:tmpl w:val="E6446E08"/>
    <w:lvl w:ilvl="0" w:tplc="B0A896C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BD2CC1E4">
      <w:numFmt w:val="bullet"/>
      <w:lvlText w:val="•"/>
      <w:lvlJc w:val="left"/>
      <w:pPr>
        <w:ind w:left="1696" w:hanging="360"/>
      </w:pPr>
      <w:rPr>
        <w:rFonts w:hint="default"/>
        <w:lang w:val="en-CA" w:eastAsia="en-CA" w:bidi="en-CA"/>
      </w:rPr>
    </w:lvl>
    <w:lvl w:ilvl="2" w:tplc="C032EE64">
      <w:numFmt w:val="bullet"/>
      <w:lvlText w:val="•"/>
      <w:lvlJc w:val="left"/>
      <w:pPr>
        <w:ind w:left="2572" w:hanging="360"/>
      </w:pPr>
      <w:rPr>
        <w:rFonts w:hint="default"/>
        <w:lang w:val="en-CA" w:eastAsia="en-CA" w:bidi="en-CA"/>
      </w:rPr>
    </w:lvl>
    <w:lvl w:ilvl="3" w:tplc="F3165326">
      <w:numFmt w:val="bullet"/>
      <w:lvlText w:val="•"/>
      <w:lvlJc w:val="left"/>
      <w:pPr>
        <w:ind w:left="3448" w:hanging="360"/>
      </w:pPr>
      <w:rPr>
        <w:rFonts w:hint="default"/>
        <w:lang w:val="en-CA" w:eastAsia="en-CA" w:bidi="en-CA"/>
      </w:rPr>
    </w:lvl>
    <w:lvl w:ilvl="4" w:tplc="407C3FAA">
      <w:numFmt w:val="bullet"/>
      <w:lvlText w:val="•"/>
      <w:lvlJc w:val="left"/>
      <w:pPr>
        <w:ind w:left="4324" w:hanging="360"/>
      </w:pPr>
      <w:rPr>
        <w:rFonts w:hint="default"/>
        <w:lang w:val="en-CA" w:eastAsia="en-CA" w:bidi="en-CA"/>
      </w:rPr>
    </w:lvl>
    <w:lvl w:ilvl="5" w:tplc="E0BC1670">
      <w:numFmt w:val="bullet"/>
      <w:lvlText w:val="•"/>
      <w:lvlJc w:val="left"/>
      <w:pPr>
        <w:ind w:left="5200" w:hanging="360"/>
      </w:pPr>
      <w:rPr>
        <w:rFonts w:hint="default"/>
        <w:lang w:val="en-CA" w:eastAsia="en-CA" w:bidi="en-CA"/>
      </w:rPr>
    </w:lvl>
    <w:lvl w:ilvl="6" w:tplc="233AB86A">
      <w:numFmt w:val="bullet"/>
      <w:lvlText w:val="•"/>
      <w:lvlJc w:val="left"/>
      <w:pPr>
        <w:ind w:left="6076" w:hanging="360"/>
      </w:pPr>
      <w:rPr>
        <w:rFonts w:hint="default"/>
        <w:lang w:val="en-CA" w:eastAsia="en-CA" w:bidi="en-CA"/>
      </w:rPr>
    </w:lvl>
    <w:lvl w:ilvl="7" w:tplc="46F468B2">
      <w:numFmt w:val="bullet"/>
      <w:lvlText w:val="•"/>
      <w:lvlJc w:val="left"/>
      <w:pPr>
        <w:ind w:left="6952" w:hanging="360"/>
      </w:pPr>
      <w:rPr>
        <w:rFonts w:hint="default"/>
        <w:lang w:val="en-CA" w:eastAsia="en-CA" w:bidi="en-CA"/>
      </w:rPr>
    </w:lvl>
    <w:lvl w:ilvl="8" w:tplc="D0A60796">
      <w:numFmt w:val="bullet"/>
      <w:lvlText w:val="•"/>
      <w:lvlJc w:val="left"/>
      <w:pPr>
        <w:ind w:left="7828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E1079"/>
    <w:rsid w:val="002401B6"/>
    <w:rsid w:val="00405865"/>
    <w:rsid w:val="005C556A"/>
    <w:rsid w:val="007C0873"/>
    <w:rsid w:val="00DE1079"/>
    <w:rsid w:val="00E2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877415F-4815-4867-BB80-8DF6062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0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1B6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240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1B6"/>
    <w:rPr>
      <w:rFonts w:ascii="Calibri" w:eastAsia="Calibri" w:hAnsi="Calibri" w:cs="Calibri"/>
      <w:lang w:val="en-CA" w:eastAsia="en-CA" w:bidi="en-CA"/>
    </w:rPr>
  </w:style>
  <w:style w:type="character" w:styleId="Strong">
    <w:name w:val="Strong"/>
    <w:basedOn w:val="DefaultParagraphFont"/>
    <w:uiPriority w:val="22"/>
    <w:qFormat/>
    <w:rsid w:val="004058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6A"/>
    <w:rPr>
      <w:rFonts w:ascii="Segoe UI" w:eastAsia="Calibri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Monica Toca</cp:lastModifiedBy>
  <cp:revision>3</cp:revision>
  <cp:lastPrinted>2019-11-01T18:59:00Z</cp:lastPrinted>
  <dcterms:created xsi:type="dcterms:W3CDTF">2019-11-01T18:27:00Z</dcterms:created>
  <dcterms:modified xsi:type="dcterms:W3CDTF">2019-11-01T19:00:00Z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2019-11-01T00:00:00Z</vt:filetime>
  </property>
</Properties>
</file>