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FFA8C" w14:textId="280F0838" w:rsidR="00576CFF" w:rsidRDefault="00576CFF" w:rsidP="00576CFF">
      <w:pPr>
        <w:pStyle w:val="Heading1"/>
      </w:pPr>
      <w:r>
        <w:t>Selecting Module for Blending</w:t>
      </w:r>
    </w:p>
    <w:p w14:paraId="35A4C383" w14:textId="0109243D" w:rsidR="00F16F72" w:rsidRDefault="00F16F72" w:rsidP="00F16F72">
      <w:r>
        <w:t>Guiding Resource to help you select an appropriate module to blend.</w:t>
      </w:r>
    </w:p>
    <w:p w14:paraId="042D3DEB" w14:textId="77777777" w:rsidR="00F16F72" w:rsidRDefault="00F16F72" w:rsidP="00F16F72">
      <w:r>
        <w:t>For the purposes of this planning template, a module is a unit of instruction that takes place over a single class, several classes or a couple of weeks. This is scalable to your teaching requirements.</w:t>
      </w:r>
    </w:p>
    <w:p w14:paraId="47A30BBB" w14:textId="77777777" w:rsidR="00F16F72" w:rsidRDefault="00F16F72" w:rsidP="00576CFF">
      <w:pPr>
        <w:pStyle w:val="Heading2"/>
      </w:pPr>
      <w:r>
        <w:t>Create a Module Overview</w:t>
      </w:r>
    </w:p>
    <w:p w14:paraId="5505D747" w14:textId="21121855" w:rsidR="00F16F72" w:rsidRPr="00D14C0F" w:rsidRDefault="00F16F72" w:rsidP="00F16F72">
      <w:pPr>
        <w:pStyle w:val="ListParagraph"/>
        <w:numPr>
          <w:ilvl w:val="0"/>
          <w:numId w:val="1"/>
        </w:numPr>
      </w:pPr>
      <w:r>
        <w:t xml:space="preserve">Select a module with content students would benefit </w:t>
      </w:r>
      <w:r w:rsidRPr="00D14C0F">
        <w:t xml:space="preserve">most from accessing </w:t>
      </w:r>
      <w:r>
        <w:t xml:space="preserve">components </w:t>
      </w:r>
      <w:r w:rsidRPr="00D14C0F">
        <w:t>on their own time, at their own pace</w:t>
      </w:r>
      <w:r>
        <w:t xml:space="preserve"> (this could be particularly challenging or dense content, or a unit that requires a good amount of group work) </w:t>
      </w:r>
    </w:p>
    <w:p w14:paraId="5C20B088" w14:textId="77777777" w:rsidR="00F16F72" w:rsidRDefault="00F16F72" w:rsidP="00F16F72">
      <w:pPr>
        <w:pStyle w:val="ListParagraph"/>
        <w:numPr>
          <w:ilvl w:val="0"/>
          <w:numId w:val="1"/>
        </w:numPr>
      </w:pPr>
      <w:r>
        <w:t>Inventory your teaching resources and learning activities to determine what you have and what you may have to produce (it is advisable to start with a module that already has a robust inventory and variety of resources to allow you more time for planning how to divide the face-to-face and out-of-class activities)</w:t>
      </w:r>
    </w:p>
    <w:p w14:paraId="6D214744" w14:textId="77777777" w:rsidR="00F16F72" w:rsidRPr="002B0098" w:rsidRDefault="00F16F72" w:rsidP="00F16F72">
      <w:pPr>
        <w:pStyle w:val="ListParagraph"/>
        <w:numPr>
          <w:ilvl w:val="0"/>
          <w:numId w:val="1"/>
        </w:numPr>
      </w:pPr>
      <w:r>
        <w:t xml:space="preserve">Devise strategies and create resources to integrate face-to-face and out-of-class activities cohesively (with the face-to-face time reduced, setting clear expectations for intended learning outcomes and student activity, providing explicit instructions for work process and deadlines, providing access to resources on a well-organized Moodle page, and establishing a communication plan for questions will help students feel well-supported and reduce the </w:t>
      </w:r>
      <w:proofErr w:type="gramStart"/>
      <w:r>
        <w:t>amount</w:t>
      </w:r>
      <w:proofErr w:type="gramEnd"/>
      <w:r>
        <w:t xml:space="preserve"> of out-of-class communications)</w:t>
      </w:r>
    </w:p>
    <w:p w14:paraId="30B7F131" w14:textId="77777777" w:rsidR="00F16F72" w:rsidRDefault="00F16F72" w:rsidP="00F16F72">
      <w:r>
        <w:t xml:space="preserve">Complete the following table to create an overview of your blended module: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1275"/>
        <w:gridCol w:w="1134"/>
        <w:gridCol w:w="2410"/>
      </w:tblGrid>
      <w:tr w:rsidR="00F16F72" w14:paraId="2F299A23" w14:textId="77777777" w:rsidTr="00752512">
        <w:tc>
          <w:tcPr>
            <w:tcW w:w="2122" w:type="dxa"/>
            <w:shd w:val="clear" w:color="auto" w:fill="C5E0B3" w:themeFill="accent6" w:themeFillTint="66"/>
          </w:tcPr>
          <w:p w14:paraId="1BACB773" w14:textId="77777777" w:rsidR="00F16F72" w:rsidRPr="00F8060F" w:rsidRDefault="00F16F72" w:rsidP="00752512">
            <w:pPr>
              <w:rPr>
                <w:b/>
                <w:bCs/>
              </w:rPr>
            </w:pPr>
            <w:r w:rsidRPr="00F8060F">
              <w:rPr>
                <w:b/>
                <w:bCs/>
              </w:rPr>
              <w:t>Course Components</w:t>
            </w:r>
          </w:p>
        </w:tc>
        <w:tc>
          <w:tcPr>
            <w:tcW w:w="7228" w:type="dxa"/>
            <w:gridSpan w:val="4"/>
            <w:shd w:val="clear" w:color="auto" w:fill="C5E0B3" w:themeFill="accent6" w:themeFillTint="66"/>
          </w:tcPr>
          <w:p w14:paraId="4C0677AA" w14:textId="77777777" w:rsidR="00F16F72" w:rsidRDefault="00F16F72" w:rsidP="00752512"/>
        </w:tc>
      </w:tr>
      <w:tr w:rsidR="00F16F72" w14:paraId="4E02D76F" w14:textId="77777777" w:rsidTr="00752512">
        <w:tc>
          <w:tcPr>
            <w:tcW w:w="2122" w:type="dxa"/>
          </w:tcPr>
          <w:p w14:paraId="6A0B0156" w14:textId="77777777" w:rsidR="00F16F72" w:rsidRDefault="00F16F72" w:rsidP="00752512">
            <w:r>
              <w:t>Unit / Module Title</w:t>
            </w:r>
          </w:p>
        </w:tc>
        <w:tc>
          <w:tcPr>
            <w:tcW w:w="7228" w:type="dxa"/>
            <w:gridSpan w:val="4"/>
          </w:tcPr>
          <w:p w14:paraId="433F2B2A" w14:textId="77777777" w:rsidR="00F16F72" w:rsidRDefault="00F16F72" w:rsidP="00752512"/>
          <w:p w14:paraId="6967CBD0" w14:textId="77777777" w:rsidR="00F16F72" w:rsidRDefault="00F16F72" w:rsidP="00752512"/>
        </w:tc>
      </w:tr>
      <w:tr w:rsidR="00F16F72" w14:paraId="6991C783" w14:textId="77777777" w:rsidTr="00752512">
        <w:tc>
          <w:tcPr>
            <w:tcW w:w="2122" w:type="dxa"/>
          </w:tcPr>
          <w:p w14:paraId="5E0F943D" w14:textId="77777777" w:rsidR="00F16F72" w:rsidRDefault="00F16F72" w:rsidP="00752512">
            <w:r>
              <w:t>Intended Learning Outcome(s)</w:t>
            </w:r>
          </w:p>
          <w:p w14:paraId="16B6DCFA" w14:textId="77777777" w:rsidR="00F16F72" w:rsidRDefault="00F16F72" w:rsidP="00752512"/>
        </w:tc>
        <w:tc>
          <w:tcPr>
            <w:tcW w:w="7228" w:type="dxa"/>
            <w:gridSpan w:val="4"/>
          </w:tcPr>
          <w:p w14:paraId="00481D1E" w14:textId="77777777" w:rsidR="00F16F72" w:rsidRDefault="00F16F72" w:rsidP="00752512"/>
        </w:tc>
      </w:tr>
      <w:tr w:rsidR="00F16F72" w14:paraId="5854C7DC" w14:textId="77777777" w:rsidTr="00752512">
        <w:tc>
          <w:tcPr>
            <w:tcW w:w="2122" w:type="dxa"/>
          </w:tcPr>
          <w:p w14:paraId="189FCE9A" w14:textId="77777777" w:rsidR="00F16F72" w:rsidRDefault="00F16F72" w:rsidP="00752512">
            <w:r>
              <w:t>Teaching resources</w:t>
            </w:r>
          </w:p>
          <w:p w14:paraId="45C59BEC" w14:textId="77777777" w:rsidR="00F16F72" w:rsidRDefault="00F16F72" w:rsidP="00752512"/>
          <w:p w14:paraId="48FB8C7E" w14:textId="77777777" w:rsidR="00F16F72" w:rsidRDefault="00F16F72" w:rsidP="00752512"/>
        </w:tc>
        <w:tc>
          <w:tcPr>
            <w:tcW w:w="3684" w:type="dxa"/>
            <w:gridSpan w:val="2"/>
          </w:tcPr>
          <w:p w14:paraId="75499CDB" w14:textId="77777777" w:rsidR="00F16F72" w:rsidRDefault="00F16F72" w:rsidP="00752512">
            <w:r>
              <w:t>Digital:</w:t>
            </w:r>
          </w:p>
          <w:p w14:paraId="24136AA8" w14:textId="77777777" w:rsidR="00F16F72" w:rsidRDefault="00F16F72" w:rsidP="00752512"/>
        </w:tc>
        <w:tc>
          <w:tcPr>
            <w:tcW w:w="3544" w:type="dxa"/>
            <w:gridSpan w:val="2"/>
          </w:tcPr>
          <w:p w14:paraId="17EF747E" w14:textId="77777777" w:rsidR="00F16F72" w:rsidRDefault="00F16F72" w:rsidP="00752512">
            <w:r>
              <w:t>Paper:</w:t>
            </w:r>
          </w:p>
        </w:tc>
      </w:tr>
      <w:tr w:rsidR="00F16F72" w14:paraId="343CF0A8" w14:textId="77777777" w:rsidTr="00752512">
        <w:tc>
          <w:tcPr>
            <w:tcW w:w="2122" w:type="dxa"/>
          </w:tcPr>
          <w:p w14:paraId="478424B4" w14:textId="77777777" w:rsidR="00F16F72" w:rsidRDefault="00F16F72" w:rsidP="00752512">
            <w:r>
              <w:t>Learning activities</w:t>
            </w:r>
          </w:p>
          <w:p w14:paraId="3380E8CE" w14:textId="77777777" w:rsidR="00F16F72" w:rsidRDefault="00F16F72" w:rsidP="00752512"/>
          <w:p w14:paraId="736FF163" w14:textId="77777777" w:rsidR="00F16F72" w:rsidRDefault="00F16F72" w:rsidP="00752512"/>
        </w:tc>
        <w:tc>
          <w:tcPr>
            <w:tcW w:w="2409" w:type="dxa"/>
          </w:tcPr>
          <w:p w14:paraId="288C58E7" w14:textId="77777777" w:rsidR="00F16F72" w:rsidRDefault="00F16F72" w:rsidP="00752512">
            <w:r>
              <w:t>Face-to-face</w:t>
            </w:r>
          </w:p>
        </w:tc>
        <w:tc>
          <w:tcPr>
            <w:tcW w:w="2409" w:type="dxa"/>
            <w:gridSpan w:val="2"/>
          </w:tcPr>
          <w:p w14:paraId="2B3B6C29" w14:textId="77777777" w:rsidR="00F16F72" w:rsidRDefault="00F16F72" w:rsidP="00752512">
            <w:r>
              <w:t>Online</w:t>
            </w:r>
          </w:p>
        </w:tc>
        <w:tc>
          <w:tcPr>
            <w:tcW w:w="2410" w:type="dxa"/>
          </w:tcPr>
          <w:p w14:paraId="21B13D5C" w14:textId="77777777" w:rsidR="00F16F72" w:rsidRDefault="00F16F72" w:rsidP="00752512">
            <w:r>
              <w:t xml:space="preserve">*Offline </w:t>
            </w:r>
          </w:p>
          <w:p w14:paraId="278BAB72" w14:textId="77777777" w:rsidR="00F16F72" w:rsidRDefault="00F16F72" w:rsidP="00752512"/>
        </w:tc>
      </w:tr>
    </w:tbl>
    <w:p w14:paraId="20E9385F" w14:textId="77777777" w:rsidR="00F16F72" w:rsidRDefault="00F16F72" w:rsidP="00F16F72">
      <w:r>
        <w:t>*Offline:  any course work that does not take place in the classroom, nor does it rely on the internet, such as course reading, field/community-based activity, group work, etc.</w:t>
      </w:r>
    </w:p>
    <w:p w14:paraId="4795B3F5" w14:textId="77777777" w:rsidR="00F16F72" w:rsidRDefault="00F16F72" w:rsidP="00F16F72"/>
    <w:p w14:paraId="1F58BE78" w14:textId="77777777" w:rsidR="00F16F72" w:rsidRDefault="00F16F72" w:rsidP="00F16F72"/>
    <w:p w14:paraId="68C8A6B0" w14:textId="77777777" w:rsidR="00F16F72" w:rsidRDefault="00F16F72" w:rsidP="00F16F72"/>
    <w:p w14:paraId="2E245819" w14:textId="272551D2" w:rsidR="00F16F72" w:rsidRDefault="00F16F72" w:rsidP="2074A3F5"/>
    <w:sectPr w:rsidR="00F16F72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41A5" w14:textId="77777777" w:rsidR="009D3D94" w:rsidRDefault="009D3D94" w:rsidP="00576CFF">
      <w:pPr>
        <w:spacing w:after="0" w:line="240" w:lineRule="auto"/>
      </w:pPr>
      <w:r>
        <w:separator/>
      </w:r>
    </w:p>
  </w:endnote>
  <w:endnote w:type="continuationSeparator" w:id="0">
    <w:p w14:paraId="6B8CFC06" w14:textId="77777777" w:rsidR="009D3D94" w:rsidRDefault="009D3D94" w:rsidP="0057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67B8" w14:textId="6E31382E" w:rsidR="006675CB" w:rsidRDefault="006675CB">
    <w:pPr>
      <w:pStyle w:val="Footer"/>
    </w:pPr>
    <w:r>
      <w:rPr>
        <w:noProof/>
      </w:rPr>
      <w:drawing>
        <wp:inline distT="0" distB="0" distL="0" distR="0" wp14:anchorId="1C3BA6DF" wp14:editId="517772C4">
          <wp:extent cx="876300" cy="304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111" cy="305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77749" w14:textId="77777777" w:rsidR="009D3D94" w:rsidRDefault="009D3D94" w:rsidP="00576CFF">
      <w:pPr>
        <w:spacing w:after="0" w:line="240" w:lineRule="auto"/>
      </w:pPr>
      <w:r>
        <w:separator/>
      </w:r>
    </w:p>
  </w:footnote>
  <w:footnote w:type="continuationSeparator" w:id="0">
    <w:p w14:paraId="1F50E227" w14:textId="77777777" w:rsidR="009D3D94" w:rsidRDefault="009D3D94" w:rsidP="00576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CABE" w14:textId="454D9773" w:rsidR="00576CFF" w:rsidRPr="00576CFF" w:rsidRDefault="00576CFF">
    <w:pPr>
      <w:pStyle w:val="Header"/>
      <w:rPr>
        <w:sz w:val="20"/>
        <w:szCs w:val="20"/>
        <w:lang w:val="pt-BR"/>
      </w:rPr>
    </w:pPr>
    <w:r>
      <w:rPr>
        <w:noProof/>
        <w:sz w:val="20"/>
        <w:szCs w:val="20"/>
        <w:lang w:val="pt-BR"/>
      </w:rPr>
      <w:drawing>
        <wp:anchor distT="0" distB="0" distL="114300" distR="114300" simplePos="0" relativeHeight="251658240" behindDoc="1" locked="0" layoutInCell="1" allowOverlap="1" wp14:anchorId="31F7E367" wp14:editId="2ECF67EF">
          <wp:simplePos x="0" y="0"/>
          <wp:positionH relativeFrom="margin">
            <wp:posOffset>4518660</wp:posOffset>
          </wp:positionH>
          <wp:positionV relativeFrom="paragraph">
            <wp:posOffset>-274320</wp:posOffset>
          </wp:positionV>
          <wp:extent cx="1173480" cy="543808"/>
          <wp:effectExtent l="0" t="0" r="762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543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576CFF">
      <w:rPr>
        <w:sz w:val="20"/>
        <w:szCs w:val="20"/>
        <w:lang w:val="pt-BR"/>
      </w:rPr>
      <w:t>Selecting</w:t>
    </w:r>
    <w:proofErr w:type="spellEnd"/>
    <w:r w:rsidRPr="00576CFF">
      <w:rPr>
        <w:sz w:val="20"/>
        <w:szCs w:val="20"/>
        <w:lang w:val="pt-BR"/>
      </w:rPr>
      <w:t xml:space="preserve"> Module for </w:t>
    </w:r>
    <w:proofErr w:type="spellStart"/>
    <w:r w:rsidRPr="00576CFF">
      <w:rPr>
        <w:sz w:val="20"/>
        <w:szCs w:val="20"/>
        <w:lang w:val="pt-BR"/>
      </w:rPr>
      <w:t>Blending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53D9F"/>
    <w:multiLevelType w:val="hybridMultilevel"/>
    <w:tmpl w:val="64B05300"/>
    <w:lvl w:ilvl="0" w:tplc="5028703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D7470"/>
    <w:multiLevelType w:val="hybridMultilevel"/>
    <w:tmpl w:val="85A22AAC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72"/>
    <w:rsid w:val="00576CFF"/>
    <w:rsid w:val="006675CB"/>
    <w:rsid w:val="006729E7"/>
    <w:rsid w:val="009D3D94"/>
    <w:rsid w:val="00F16F72"/>
    <w:rsid w:val="00FF4B65"/>
    <w:rsid w:val="2074A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60D2F"/>
  <w15:chartTrackingRefBased/>
  <w15:docId w15:val="{121C39E7-787D-4D3E-9325-954E3551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F72"/>
  </w:style>
  <w:style w:type="paragraph" w:styleId="Heading1">
    <w:name w:val="heading 1"/>
    <w:basedOn w:val="Normal"/>
    <w:next w:val="Normal"/>
    <w:link w:val="Heading1Char"/>
    <w:uiPriority w:val="9"/>
    <w:qFormat/>
    <w:rsid w:val="00F16F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F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6F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1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6F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CFF"/>
  </w:style>
  <w:style w:type="paragraph" w:styleId="Footer">
    <w:name w:val="footer"/>
    <w:basedOn w:val="Normal"/>
    <w:link w:val="FooterChar"/>
    <w:uiPriority w:val="99"/>
    <w:unhideWhenUsed/>
    <w:rsid w:val="00576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Hawthorne</dc:creator>
  <cp:keywords/>
  <dc:description/>
  <cp:lastModifiedBy>Tamyres Lucas Manhaes De Souza</cp:lastModifiedBy>
  <cp:revision>4</cp:revision>
  <dcterms:created xsi:type="dcterms:W3CDTF">2021-10-07T19:11:00Z</dcterms:created>
  <dcterms:modified xsi:type="dcterms:W3CDTF">2021-10-18T19:51:00Z</dcterms:modified>
</cp:coreProperties>
</file>